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FF" w:rsidRPr="00427E6F" w:rsidRDefault="003D62FF" w:rsidP="003D62FF">
      <w:pPr>
        <w:rPr>
          <w:rFonts w:ascii="Arial Narrow" w:hAnsi="Arial Narrow"/>
          <w:b/>
          <w:bCs/>
          <w:i/>
          <w:iCs/>
          <w:color w:val="0070C0"/>
        </w:rPr>
      </w:pPr>
      <w:r>
        <w:rPr>
          <w:rFonts w:ascii="Arial Narrow" w:hAnsi="Arial Narrow"/>
          <w:noProof/>
          <w:lang w:eastAsia="fr-FR"/>
        </w:rPr>
        <mc:AlternateContent>
          <mc:Choice Requires="wps">
            <w:drawing>
              <wp:inline distT="0" distB="0" distL="0" distR="0">
                <wp:extent cx="905510" cy="1097280"/>
                <wp:effectExtent l="13970" t="13970" r="1397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097280"/>
                        </a:xfrm>
                        <a:prstGeom prst="rect">
                          <a:avLst/>
                        </a:prstGeom>
                        <a:solidFill>
                          <a:schemeClr val="lt1">
                            <a:lumMod val="100000"/>
                            <a:lumOff val="0"/>
                          </a:schemeClr>
                        </a:solidFill>
                        <a:ln w="6350">
                          <a:solidFill>
                            <a:srgbClr val="000000"/>
                          </a:solidFill>
                          <a:miter lim="800000"/>
                          <a:headEnd/>
                          <a:tailEnd/>
                        </a:ln>
                      </wps:spPr>
                      <wps:txbx>
                        <w:txbxContent>
                          <w:p w:rsidR="003D62FF" w:rsidRDefault="003D62FF" w:rsidP="003D62FF">
                            <w:r>
                              <w:rPr>
                                <w:noProof/>
                                <w:sz w:val="20"/>
                                <w:szCs w:val="20"/>
                                <w:lang w:eastAsia="fr-FR"/>
                              </w:rPr>
                              <w:drawing>
                                <wp:inline distT="0" distB="0" distL="0" distR="0" wp14:anchorId="408521E5" wp14:editId="4E722854">
                                  <wp:extent cx="638175" cy="99949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999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71.3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" fillcolor="white [3201]" strokeweight=".5pt">
                <v:textbox>
                  <w:txbxContent>
                    <w:p w:rsidR="003D62FF" w:rsidRDefault="003D62FF" w:rsidP="003D62FF">
                      <w:r>
                        <w:rPr>
                          <w:noProof/>
                          <w:sz w:val="20"/>
                          <w:szCs w:val="20"/>
                          <w:lang w:eastAsia="fr-FR"/>
                        </w:rPr>
                        <w:drawing>
                          <wp:inline distT="0" distB="0" distL="0" distR="0" wp14:anchorId="408521E5" wp14:editId="4E722854">
                            <wp:extent cx="638175" cy="99949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99490"/>
                                    </a:xfrm>
                                    <a:prstGeom prst="rect">
                                      <a:avLst/>
                                    </a:prstGeom>
                                    <a:noFill/>
                                    <a:ln>
                                      <a:noFill/>
                                    </a:ln>
                                  </pic:spPr>
                                </pic:pic>
                              </a:graphicData>
                            </a:graphic>
                          </wp:inline>
                        </w:drawing>
                      </w:r>
                    </w:p>
                  </w:txbxContent>
                </v:textbox>
                <w10:anchorlock/>
              </v:shape>
            </w:pict>
          </mc:Fallback>
        </mc:AlternateContent>
      </w:r>
      <w:r>
        <w:rPr>
          <w:rFonts w:ascii="Arial Narrow" w:hAnsi="Arial Narrow"/>
          <w:noProof/>
          <w:lang w:eastAsia="fr-FR"/>
        </w:rPr>
        <mc:AlternateContent>
          <mc:Choice Requires="wps">
            <w:drawing>
              <wp:inline distT="0" distB="0" distL="0" distR="0">
                <wp:extent cx="4261485" cy="1097280"/>
                <wp:effectExtent l="13970" t="13970" r="10795" b="1270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097280"/>
                        </a:xfrm>
                        <a:prstGeom prst="rect">
                          <a:avLst/>
                        </a:prstGeom>
                        <a:solidFill>
                          <a:schemeClr val="lt1">
                            <a:lumMod val="100000"/>
                            <a:lumOff val="0"/>
                          </a:schemeClr>
                        </a:solidFill>
                        <a:ln w="12700">
                          <a:solidFill>
                            <a:srgbClr val="000000"/>
                          </a:solidFill>
                          <a:miter lim="800000"/>
                          <a:headEnd/>
                          <a:tailEnd/>
                        </a:ln>
                      </wps:spPr>
                      <wps:txbx>
                        <w:txbxContent>
                          <w:p w:rsidR="003D62FF" w:rsidRDefault="003D62FF" w:rsidP="003D62FF">
                            <w:pPr>
                              <w:jc w:val="center"/>
                              <w:rPr>
                                <w:b/>
                                <w:sz w:val="28"/>
                              </w:rPr>
                            </w:pPr>
                            <w:r>
                              <w:rPr>
                                <w:b/>
                                <w:sz w:val="28"/>
                              </w:rPr>
                              <w:t>TERMES DE REFERENCE</w:t>
                            </w:r>
                          </w:p>
                          <w:p w:rsidR="003D62FF" w:rsidRDefault="003D62FF" w:rsidP="003D62FF">
                            <w:pPr>
                              <w:jc w:val="center"/>
                              <w:rPr>
                                <w:b/>
                                <w:sz w:val="28"/>
                              </w:rPr>
                            </w:pPr>
                            <w:r>
                              <w:rPr>
                                <w:b/>
                                <w:sz w:val="28"/>
                              </w:rPr>
                              <w:t>Pour la Gestion de l’Aire Protégée Maromizaha</w:t>
                            </w:r>
                          </w:p>
                        </w:txbxContent>
                      </wps:txbx>
                      <wps:bodyPr rot="0" vert="horz" wrap="square" lIns="91440" tIns="45720" rIns="91440" bIns="45720" anchor="t" anchorCtr="0" upright="1">
                        <a:noAutofit/>
                      </wps:bodyPr>
                    </wps:wsp>
                  </a:graphicData>
                </a:graphic>
              </wp:inline>
            </w:drawing>
          </mc:Choice>
          <mc:Fallback>
            <w:pict>
              <v:shape id="Zone de texte 1" o:spid="_x0000_s1027" type="#_x0000_t202" style="width:335.5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" fillcolor="white [3201]" strokeweight="1pt">
                <v:textbox>
                  <w:txbxContent>
                    <w:p w:rsidR="003D62FF" w:rsidRDefault="003D62FF" w:rsidP="003D62FF">
                      <w:pPr>
                        <w:jc w:val="center"/>
                        <w:rPr>
                          <w:b/>
                          <w:sz w:val="28"/>
                        </w:rPr>
                      </w:pPr>
                      <w:r>
                        <w:rPr>
                          <w:b/>
                          <w:sz w:val="28"/>
                        </w:rPr>
                        <w:t>TERMES DE REFERENCE</w:t>
                      </w:r>
                    </w:p>
                    <w:p w:rsidR="003D62FF" w:rsidRDefault="003D62FF" w:rsidP="003D62FF">
                      <w:pPr>
                        <w:jc w:val="center"/>
                        <w:rPr>
                          <w:b/>
                          <w:sz w:val="28"/>
                        </w:rPr>
                      </w:pPr>
                      <w:r>
                        <w:rPr>
                          <w:b/>
                          <w:sz w:val="28"/>
                        </w:rPr>
                        <w:t>Pour la Gestion de l’Aire Protégée Maromizaha</w:t>
                      </w:r>
                    </w:p>
                  </w:txbxContent>
                </v:textbox>
                <w10:anchorlock/>
              </v:shape>
            </w:pict>
          </mc:Fallback>
        </mc:AlternateContent>
      </w:r>
    </w:p>
    <w:p w:rsidR="003D62FF" w:rsidRPr="00427E6F" w:rsidRDefault="003D62FF" w:rsidP="003D62FF">
      <w:pPr>
        <w:rPr>
          <w:rFonts w:ascii="Arial Narrow" w:hAnsi="Arial Narrow"/>
        </w:rPr>
      </w:pPr>
    </w:p>
    <w:p w:rsidR="003D62FF" w:rsidRPr="00427E6F" w:rsidRDefault="003D62FF" w:rsidP="003D62FF">
      <w:pPr>
        <w:rPr>
          <w:rFonts w:ascii="Arial Narrow" w:hAnsi="Arial Narrow"/>
        </w:rPr>
      </w:pPr>
    </w:p>
    <w:p w:rsidR="003D62FF" w:rsidRPr="00427E6F" w:rsidRDefault="003D62FF" w:rsidP="003D62FF">
      <w:pPr>
        <w:rPr>
          <w:rFonts w:ascii="Arial Narrow" w:hAnsi="Arial Narrow"/>
        </w:rPr>
      </w:pPr>
      <w:r>
        <w:rPr>
          <w:rFonts w:ascii="Arial Narrow" w:hAnsi="Arial Narrow"/>
        </w:rPr>
        <w:t>Période : 22/01</w:t>
      </w:r>
      <w:r w:rsidRPr="00427E6F">
        <w:rPr>
          <w:rFonts w:ascii="Arial Narrow" w:hAnsi="Arial Narrow"/>
        </w:rPr>
        <w:t>/201</w:t>
      </w:r>
      <w:r>
        <w:rPr>
          <w:rFonts w:ascii="Arial Narrow" w:hAnsi="Arial Narrow"/>
        </w:rPr>
        <w:t>8</w:t>
      </w:r>
      <w:r w:rsidRPr="00427E6F">
        <w:rPr>
          <w:rFonts w:ascii="Arial Narrow" w:hAnsi="Arial Narrow"/>
        </w:rPr>
        <w:t xml:space="preserve"> au </w:t>
      </w:r>
      <w:r>
        <w:rPr>
          <w:rFonts w:ascii="Arial Narrow" w:hAnsi="Arial Narrow"/>
        </w:rPr>
        <w:t>21</w:t>
      </w:r>
      <w:r w:rsidRPr="00427E6F">
        <w:rPr>
          <w:rFonts w:ascii="Arial Narrow" w:hAnsi="Arial Narrow"/>
        </w:rPr>
        <w:t>/</w:t>
      </w:r>
      <w:r>
        <w:rPr>
          <w:rFonts w:ascii="Arial Narrow" w:hAnsi="Arial Narrow"/>
        </w:rPr>
        <w:t>01</w:t>
      </w:r>
      <w:r w:rsidRPr="00427E6F">
        <w:rPr>
          <w:rFonts w:ascii="Arial Narrow" w:hAnsi="Arial Narrow"/>
        </w:rPr>
        <w:t>/201</w:t>
      </w:r>
      <w:r>
        <w:rPr>
          <w:rFonts w:ascii="Arial Narrow" w:hAnsi="Arial Narrow"/>
        </w:rPr>
        <w:t>9</w:t>
      </w:r>
      <w:r w:rsidRPr="00427E6F">
        <w:rPr>
          <w:rFonts w:ascii="Arial Narrow" w:hAnsi="Arial Narrow"/>
        </w:rPr>
        <w:t xml:space="preserve"> </w:t>
      </w:r>
    </w:p>
    <w:p w:rsidR="003D62FF" w:rsidRPr="003D62FF" w:rsidRDefault="003D62FF" w:rsidP="003D62FF">
      <w:pPr>
        <w:spacing w:after="0" w:line="240" w:lineRule="auto"/>
        <w:rPr>
          <w:rFonts w:ascii="Arial Narrow" w:hAnsi="Arial Narrow"/>
        </w:rPr>
      </w:pPr>
      <w:r w:rsidRPr="00427E6F">
        <w:rPr>
          <w:rFonts w:ascii="Arial Narrow" w:hAnsi="Arial Narrow"/>
        </w:rPr>
        <w:t xml:space="preserve">Intitulé du poste : </w:t>
      </w:r>
      <w:r w:rsidRPr="00427E6F">
        <w:rPr>
          <w:rFonts w:ascii="Arial Narrow" w:hAnsi="Arial Narrow"/>
        </w:rPr>
        <w:tab/>
      </w:r>
      <w:r w:rsidRPr="003D62FF">
        <w:rPr>
          <w:rFonts w:ascii="Arial Narrow" w:hAnsi="Arial Narrow"/>
        </w:rPr>
        <w:t>Assistant</w:t>
      </w:r>
      <w:r w:rsidR="009F1EDB">
        <w:rPr>
          <w:rFonts w:ascii="Arial Narrow" w:hAnsi="Arial Narrow"/>
        </w:rPr>
        <w:t>e</w:t>
      </w:r>
      <w:r w:rsidRPr="003D62FF">
        <w:rPr>
          <w:rFonts w:ascii="Arial Narrow" w:hAnsi="Arial Narrow"/>
        </w:rPr>
        <w:t xml:space="preserve"> Comptable du projet Maromizaha</w:t>
      </w:r>
    </w:p>
    <w:p w:rsidR="003D62FF" w:rsidRPr="00427E6F" w:rsidRDefault="003D62FF" w:rsidP="003D62FF">
      <w:pPr>
        <w:ind w:left="2832" w:hanging="2832"/>
        <w:rPr>
          <w:rFonts w:ascii="Arial Narrow" w:hAnsi="Arial Narrow"/>
        </w:rPr>
      </w:pPr>
    </w:p>
    <w:p w:rsidR="003D62FF" w:rsidRPr="00427E6F" w:rsidRDefault="003D62FF" w:rsidP="003D62FF">
      <w:pPr>
        <w:rPr>
          <w:rFonts w:ascii="Arial Narrow" w:hAnsi="Arial Narrow"/>
          <w:b/>
          <w:u w:val="single"/>
        </w:rPr>
      </w:pPr>
    </w:p>
    <w:p w:rsidR="003D62FF" w:rsidRPr="00427E6F" w:rsidRDefault="003D62FF" w:rsidP="003D62FF">
      <w:pPr>
        <w:rPr>
          <w:rFonts w:ascii="Arial Narrow" w:hAnsi="Arial Narrow"/>
          <w:b/>
          <w:u w:val="single"/>
        </w:rPr>
      </w:pPr>
      <w:r w:rsidRPr="00427E6F">
        <w:rPr>
          <w:rFonts w:ascii="Arial Narrow" w:hAnsi="Arial Narrow"/>
          <w:b/>
          <w:u w:val="single"/>
        </w:rPr>
        <w:t>Cadre</w:t>
      </w:r>
    </w:p>
    <w:p w:rsidR="003D62FF" w:rsidRPr="00427E6F" w:rsidRDefault="003D62FF" w:rsidP="003D62FF">
      <w:pPr>
        <w:spacing w:after="0" w:line="360" w:lineRule="auto"/>
        <w:jc w:val="both"/>
        <w:rPr>
          <w:rFonts w:ascii="Arial Narrow" w:hAnsi="Arial Narrow"/>
        </w:rPr>
      </w:pPr>
      <w:r w:rsidRPr="00427E6F">
        <w:rPr>
          <w:rFonts w:ascii="Arial Narrow" w:hAnsi="Arial Narrow"/>
        </w:rPr>
        <w:t>Le GERP est officiellement devenu le gestionnaire temporaire de Maromizaha à travers la décision ministérielle n°197/08/MEF du 31 janvier 2008. L’Aire Protégée a obtenu sa mise en protection temporaire par la sortie de l’Arrêté interministériel Mine-Forêts n°18633 du 17 Octobre 2008. En 2015, après avoir obtenu son permis environnemental délivré par l’ONE, l’Aire Protégée Maromizaha a été créée définitivement. La création définitive a été entérinée par le décret n°</w:t>
      </w:r>
      <w:r>
        <w:rPr>
          <w:rFonts w:ascii="Arial Narrow" w:hAnsi="Arial Narrow"/>
        </w:rPr>
        <w:t>2015-783</w:t>
      </w:r>
      <w:r w:rsidRPr="00427E6F">
        <w:rPr>
          <w:rFonts w:ascii="Arial Narrow" w:hAnsi="Arial Narrow"/>
        </w:rPr>
        <w:t xml:space="preserve"> du 28 avril 2015. L’obtention du statut définitif de l’Aire Protégée </w:t>
      </w:r>
      <w:r>
        <w:rPr>
          <w:rFonts w:ascii="Arial Narrow" w:hAnsi="Arial Narrow"/>
        </w:rPr>
        <w:t xml:space="preserve">a </w:t>
      </w:r>
      <w:r w:rsidRPr="00427E6F">
        <w:rPr>
          <w:rFonts w:ascii="Arial Narrow" w:hAnsi="Arial Narrow"/>
        </w:rPr>
        <w:t xml:space="preserve">multiplié les responsabilités de l’équipe de gestion et </w:t>
      </w:r>
      <w:r>
        <w:rPr>
          <w:rFonts w:ascii="Arial Narrow" w:hAnsi="Arial Narrow"/>
        </w:rPr>
        <w:t xml:space="preserve">a </w:t>
      </w:r>
      <w:r w:rsidRPr="00427E6F">
        <w:rPr>
          <w:rFonts w:ascii="Arial Narrow" w:hAnsi="Arial Narrow"/>
        </w:rPr>
        <w:t xml:space="preserve">augmenté le nombre d’activités qu’elle </w:t>
      </w:r>
      <w:r>
        <w:rPr>
          <w:rFonts w:ascii="Arial Narrow" w:hAnsi="Arial Narrow"/>
        </w:rPr>
        <w:t xml:space="preserve">a </w:t>
      </w:r>
      <w:r w:rsidRPr="00427E6F">
        <w:rPr>
          <w:rFonts w:ascii="Arial Narrow" w:hAnsi="Arial Narrow"/>
        </w:rPr>
        <w:t>à mettre en œuvre sur site. Aussi, une structuration de l’équipe en charge de la gestion de Maromizaha, notamment par la confection de TdR, s’avère nécessaire. Le présent TdR ne tient pas compte des activités n’ayant pas reçu de financement.</w:t>
      </w:r>
      <w:r w:rsidR="00FE7591">
        <w:rPr>
          <w:rFonts w:ascii="Arial Narrow" w:hAnsi="Arial Narrow"/>
        </w:rPr>
        <w:t xml:space="preserve"> </w:t>
      </w:r>
      <w:r w:rsidRPr="00427E6F">
        <w:rPr>
          <w:rFonts w:ascii="Arial Narrow" w:hAnsi="Arial Narrow"/>
        </w:rPr>
        <w:t>Les tâches pourraient être complétées si les autres financements demandés sont obtenus.</w:t>
      </w:r>
      <w:r w:rsidR="00FE7591">
        <w:rPr>
          <w:rFonts w:ascii="Arial Narrow" w:hAnsi="Arial Narrow"/>
        </w:rPr>
        <w:t xml:space="preserve"> </w:t>
      </w:r>
      <w:r w:rsidRPr="00427E6F">
        <w:rPr>
          <w:rFonts w:ascii="Arial Narrow" w:hAnsi="Arial Narrow"/>
        </w:rPr>
        <w:t>Ce TdR comprend la responsabilité générale, la responsabilité procédurale, et les activités à mettre en œuvre. Ce TdR est ainsi élaboré en vue d’atteindre la mise en œuvre effective et coordonner des activités et obligations relatives aux documents cadres de gestion, notamment :</w:t>
      </w:r>
    </w:p>
    <w:p w:rsidR="003D62FF" w:rsidRPr="00427E6F" w:rsidRDefault="003D62FF" w:rsidP="003D62FF">
      <w:pPr>
        <w:pStyle w:val="Paragraphedeliste"/>
        <w:numPr>
          <w:ilvl w:val="0"/>
          <w:numId w:val="2"/>
        </w:numPr>
        <w:spacing w:after="0" w:line="360" w:lineRule="auto"/>
        <w:ind w:left="714" w:hanging="357"/>
        <w:contextualSpacing w:val="0"/>
        <w:jc w:val="both"/>
        <w:rPr>
          <w:rFonts w:ascii="Arial Narrow" w:hAnsi="Arial Narrow"/>
        </w:rPr>
      </w:pPr>
      <w:r w:rsidRPr="00427E6F">
        <w:rPr>
          <w:rFonts w:ascii="Arial Narrow" w:hAnsi="Arial Narrow"/>
        </w:rPr>
        <w:t>Le Plan de Travail Annuel (PTA)</w:t>
      </w:r>
    </w:p>
    <w:p w:rsidR="003D62FF" w:rsidRPr="00427E6F" w:rsidRDefault="003D62FF" w:rsidP="003D62FF">
      <w:pPr>
        <w:pStyle w:val="Paragraphedeliste"/>
        <w:numPr>
          <w:ilvl w:val="0"/>
          <w:numId w:val="2"/>
        </w:numPr>
        <w:spacing w:after="0" w:line="360" w:lineRule="auto"/>
        <w:ind w:left="714" w:hanging="357"/>
        <w:contextualSpacing w:val="0"/>
        <w:jc w:val="both"/>
        <w:rPr>
          <w:rFonts w:ascii="Arial Narrow" w:hAnsi="Arial Narrow"/>
        </w:rPr>
      </w:pPr>
      <w:r w:rsidRPr="00427E6F">
        <w:rPr>
          <w:rFonts w:ascii="Arial Narrow" w:hAnsi="Arial Narrow"/>
        </w:rPr>
        <w:t>et les conventions de financements et autres contrats signés avec les bailleurs de fonds.</w:t>
      </w:r>
    </w:p>
    <w:p w:rsidR="003D62FF" w:rsidRPr="00427E6F" w:rsidRDefault="003D62FF" w:rsidP="003D62FF">
      <w:pPr>
        <w:rPr>
          <w:rFonts w:ascii="Arial Narrow" w:hAnsi="Arial Narrow"/>
          <w:b/>
        </w:rPr>
      </w:pPr>
    </w:p>
    <w:p w:rsidR="003D62FF" w:rsidRPr="00427E6F" w:rsidRDefault="003D62FF" w:rsidP="003D62FF">
      <w:pPr>
        <w:rPr>
          <w:rFonts w:ascii="Arial Narrow" w:hAnsi="Arial Narrow"/>
          <w:b/>
          <w:u w:val="single"/>
        </w:rPr>
      </w:pPr>
      <w:r w:rsidRPr="00427E6F">
        <w:rPr>
          <w:rFonts w:ascii="Arial Narrow" w:hAnsi="Arial Narrow"/>
          <w:b/>
          <w:u w:val="single"/>
        </w:rPr>
        <w:t>Positionnement hiérarchique</w:t>
      </w:r>
    </w:p>
    <w:p w:rsidR="003D62FF" w:rsidRPr="00000DB3" w:rsidRDefault="003D62FF" w:rsidP="00000DB3">
      <w:pPr>
        <w:pStyle w:val="Paragraphedeliste"/>
        <w:numPr>
          <w:ilvl w:val="1"/>
          <w:numId w:val="3"/>
        </w:numPr>
        <w:spacing w:after="0" w:line="360" w:lineRule="auto"/>
        <w:ind w:left="1434" w:hanging="357"/>
        <w:rPr>
          <w:rFonts w:ascii="Arial Narrow" w:hAnsi="Arial Narrow"/>
        </w:rPr>
      </w:pPr>
      <w:r w:rsidRPr="00427E6F">
        <w:rPr>
          <w:rFonts w:ascii="Arial Narrow" w:hAnsi="Arial Narrow"/>
        </w:rPr>
        <w:t>Supérieur indirect : M. RAJAONSON Andry</w:t>
      </w:r>
      <w:bookmarkStart w:id="0" w:name="_GoBack"/>
      <w:bookmarkEnd w:id="0"/>
    </w:p>
    <w:p w:rsidR="003D62FF" w:rsidRPr="00427E6F" w:rsidRDefault="00FE7591" w:rsidP="003D62FF">
      <w:pPr>
        <w:pStyle w:val="Paragraphedeliste"/>
        <w:numPr>
          <w:ilvl w:val="1"/>
          <w:numId w:val="3"/>
        </w:numPr>
        <w:spacing w:after="0" w:line="360" w:lineRule="auto"/>
        <w:ind w:left="1434" w:hanging="357"/>
        <w:rPr>
          <w:rFonts w:ascii="Arial Narrow" w:hAnsi="Arial Narrow"/>
        </w:rPr>
      </w:pPr>
      <w:r>
        <w:rPr>
          <w:rFonts w:ascii="Arial Narrow" w:hAnsi="Arial Narrow"/>
        </w:rPr>
        <w:t>Supérieur direct : Mme.</w:t>
      </w:r>
      <w:r w:rsidR="003D62FF" w:rsidRPr="00427E6F">
        <w:rPr>
          <w:rFonts w:ascii="Arial Narrow" w:hAnsi="Arial Narrow"/>
        </w:rPr>
        <w:t xml:space="preserve"> </w:t>
      </w:r>
      <w:r w:rsidR="003D62FF">
        <w:rPr>
          <w:rFonts w:ascii="Arial Narrow" w:hAnsi="Arial Narrow"/>
        </w:rPr>
        <w:t>ANDRIANANTOANDRO Diamondra</w:t>
      </w:r>
      <w:r w:rsidR="003D62FF" w:rsidRPr="00427E6F">
        <w:rPr>
          <w:rFonts w:ascii="Arial Narrow" w:hAnsi="Arial Narrow"/>
        </w:rPr>
        <w:t xml:space="preserve"> </w:t>
      </w:r>
    </w:p>
    <w:p w:rsidR="003D62FF" w:rsidRDefault="003D62FF" w:rsidP="0038275A">
      <w:pPr>
        <w:spacing w:after="0" w:line="240" w:lineRule="auto"/>
        <w:rPr>
          <w:b/>
          <w:bCs/>
          <w:i/>
          <w:iCs/>
          <w:color w:val="0070C0"/>
          <w:sz w:val="36"/>
        </w:rPr>
      </w:pPr>
    </w:p>
    <w:p w:rsidR="0038275A" w:rsidRPr="00000DB3" w:rsidRDefault="0038275A" w:rsidP="0038275A">
      <w:pPr>
        <w:rPr>
          <w:rFonts w:ascii="Arial Narrow" w:hAnsi="Arial Narrow"/>
          <w:b/>
        </w:rPr>
      </w:pPr>
      <w:r w:rsidRPr="00000DB3">
        <w:rPr>
          <w:rFonts w:ascii="Arial Narrow" w:hAnsi="Arial Narrow"/>
          <w:b/>
        </w:rPr>
        <w:t>Responsabilité générale</w:t>
      </w:r>
    </w:p>
    <w:p w:rsidR="0038275A" w:rsidRPr="00BC3A7F" w:rsidRDefault="0038275A" w:rsidP="0038275A">
      <w:pPr>
        <w:pStyle w:val="Paragraphedeliste"/>
        <w:numPr>
          <w:ilvl w:val="0"/>
          <w:numId w:val="1"/>
        </w:numPr>
        <w:rPr>
          <w:rFonts w:ascii="Arial Narrow" w:hAnsi="Arial Narrow"/>
        </w:rPr>
      </w:pPr>
      <w:r w:rsidRPr="00BC3A7F">
        <w:rPr>
          <w:rFonts w:ascii="Arial Narrow" w:hAnsi="Arial Narrow"/>
        </w:rPr>
        <w:t>Ass</w:t>
      </w:r>
      <w:r w:rsidR="00673255" w:rsidRPr="00BC3A7F">
        <w:rPr>
          <w:rFonts w:ascii="Arial Narrow" w:hAnsi="Arial Narrow"/>
        </w:rPr>
        <w:t>ister le Comptable dans</w:t>
      </w:r>
      <w:r w:rsidRPr="00BC3A7F">
        <w:rPr>
          <w:rFonts w:ascii="Arial Narrow" w:hAnsi="Arial Narrow"/>
        </w:rPr>
        <w:t xml:space="preserve"> l’établissement du rapport financier de Maromizaha</w:t>
      </w:r>
    </w:p>
    <w:p w:rsidR="0038275A" w:rsidRPr="00BC3A7F" w:rsidRDefault="00673255" w:rsidP="0038275A">
      <w:pPr>
        <w:pStyle w:val="Paragraphedeliste"/>
        <w:numPr>
          <w:ilvl w:val="0"/>
          <w:numId w:val="1"/>
        </w:numPr>
        <w:rPr>
          <w:rFonts w:ascii="Arial Narrow" w:hAnsi="Arial Narrow"/>
        </w:rPr>
      </w:pPr>
      <w:r w:rsidRPr="00BC3A7F">
        <w:rPr>
          <w:rFonts w:ascii="Arial Narrow" w:hAnsi="Arial Narrow"/>
        </w:rPr>
        <w:t xml:space="preserve">Assister le Comptable et le RF dans tous les travaux </w:t>
      </w:r>
      <w:r w:rsidR="00BC6030" w:rsidRPr="00BC3A7F">
        <w:rPr>
          <w:rFonts w:ascii="Arial Narrow" w:hAnsi="Arial Narrow"/>
        </w:rPr>
        <w:t xml:space="preserve">comptables et </w:t>
      </w:r>
      <w:r w:rsidRPr="00BC3A7F">
        <w:rPr>
          <w:rFonts w:ascii="Arial Narrow" w:hAnsi="Arial Narrow"/>
        </w:rPr>
        <w:t>financiers</w:t>
      </w:r>
    </w:p>
    <w:p w:rsidR="0038275A" w:rsidRPr="00000DB3" w:rsidRDefault="0038275A" w:rsidP="0038275A">
      <w:pPr>
        <w:rPr>
          <w:rFonts w:ascii="Arial Narrow" w:hAnsi="Arial Narrow"/>
          <w:b/>
        </w:rPr>
      </w:pPr>
      <w:r w:rsidRPr="00000DB3">
        <w:rPr>
          <w:rFonts w:ascii="Arial Narrow" w:hAnsi="Arial Narrow"/>
          <w:b/>
        </w:rPr>
        <w:lastRenderedPageBreak/>
        <w:t xml:space="preserve">Responsabilité procedurielle </w:t>
      </w:r>
    </w:p>
    <w:p w:rsidR="0021126E" w:rsidRPr="00BC3A7F" w:rsidRDefault="0021126E" w:rsidP="0021126E">
      <w:pPr>
        <w:pStyle w:val="Paragraphedeliste"/>
        <w:numPr>
          <w:ilvl w:val="0"/>
          <w:numId w:val="1"/>
        </w:numPr>
        <w:rPr>
          <w:rFonts w:ascii="Arial Narrow" w:hAnsi="Arial Narrow"/>
        </w:rPr>
      </w:pPr>
      <w:r w:rsidRPr="00BC3A7F">
        <w:rPr>
          <w:rFonts w:ascii="Arial Narrow" w:hAnsi="Arial Narrow"/>
        </w:rPr>
        <w:t xml:space="preserve">Vérifier les pièces justificatives et remplir le détail des engagements à la réception des livres des engagements des chargés de projet </w:t>
      </w:r>
    </w:p>
    <w:p w:rsidR="0038275A" w:rsidRPr="00BC3A7F" w:rsidRDefault="0038275A" w:rsidP="0038275A">
      <w:pPr>
        <w:pStyle w:val="Paragraphedeliste"/>
        <w:numPr>
          <w:ilvl w:val="0"/>
          <w:numId w:val="1"/>
        </w:numPr>
        <w:rPr>
          <w:rFonts w:ascii="Arial Narrow" w:hAnsi="Arial Narrow"/>
        </w:rPr>
      </w:pPr>
      <w:r w:rsidRPr="00BC3A7F">
        <w:rPr>
          <w:rFonts w:ascii="Arial Narrow" w:hAnsi="Arial Narrow"/>
        </w:rPr>
        <w:t>Saisir les pièces justificatives reçues sur logiciel comptable</w:t>
      </w:r>
    </w:p>
    <w:p w:rsidR="0038275A" w:rsidRPr="00BC3A7F" w:rsidRDefault="0038275A" w:rsidP="0038275A">
      <w:pPr>
        <w:pStyle w:val="Paragraphedeliste"/>
        <w:numPr>
          <w:ilvl w:val="0"/>
          <w:numId w:val="1"/>
        </w:numPr>
        <w:rPr>
          <w:rFonts w:ascii="Arial Narrow" w:hAnsi="Arial Narrow"/>
        </w:rPr>
      </w:pPr>
      <w:r w:rsidRPr="00BC3A7F">
        <w:rPr>
          <w:rFonts w:ascii="Arial Narrow" w:hAnsi="Arial Narrow"/>
        </w:rPr>
        <w:t>Remplir le grand livre de caisse pour chaque bailleur de fonds</w:t>
      </w:r>
    </w:p>
    <w:p w:rsidR="00673255" w:rsidRPr="00BC3A7F" w:rsidRDefault="00673255" w:rsidP="0038275A">
      <w:pPr>
        <w:pStyle w:val="Paragraphedeliste"/>
        <w:numPr>
          <w:ilvl w:val="0"/>
          <w:numId w:val="1"/>
        </w:numPr>
        <w:rPr>
          <w:rFonts w:ascii="Arial Narrow" w:hAnsi="Arial Narrow"/>
        </w:rPr>
      </w:pPr>
      <w:r w:rsidRPr="00BC3A7F">
        <w:rPr>
          <w:rFonts w:ascii="Arial Narrow" w:hAnsi="Arial Narrow"/>
        </w:rPr>
        <w:t xml:space="preserve">Etablir les chèques et </w:t>
      </w:r>
      <w:r w:rsidR="0021126E" w:rsidRPr="00BC3A7F">
        <w:rPr>
          <w:rFonts w:ascii="Arial Narrow" w:hAnsi="Arial Narrow"/>
        </w:rPr>
        <w:t>les pièces de caisse</w:t>
      </w:r>
    </w:p>
    <w:p w:rsidR="0038275A" w:rsidRPr="00BC3A7F" w:rsidRDefault="0038275A" w:rsidP="0038275A">
      <w:pPr>
        <w:pStyle w:val="Paragraphedeliste"/>
        <w:numPr>
          <w:ilvl w:val="0"/>
          <w:numId w:val="1"/>
        </w:numPr>
        <w:rPr>
          <w:rFonts w:ascii="Arial Narrow" w:hAnsi="Arial Narrow"/>
        </w:rPr>
      </w:pPr>
      <w:r w:rsidRPr="00BC3A7F">
        <w:rPr>
          <w:rFonts w:ascii="Arial Narrow" w:hAnsi="Arial Narrow"/>
        </w:rPr>
        <w:t>Etablir les états de caisse et concordances bancaires</w:t>
      </w:r>
    </w:p>
    <w:p w:rsidR="0038275A" w:rsidRPr="00BC3A7F" w:rsidRDefault="0038275A" w:rsidP="0038275A">
      <w:pPr>
        <w:pStyle w:val="Paragraphedeliste"/>
        <w:numPr>
          <w:ilvl w:val="0"/>
          <w:numId w:val="1"/>
        </w:numPr>
        <w:rPr>
          <w:rFonts w:ascii="Arial Narrow" w:hAnsi="Arial Narrow"/>
        </w:rPr>
      </w:pPr>
      <w:r w:rsidRPr="00BC3A7F">
        <w:rPr>
          <w:rFonts w:ascii="Arial Narrow" w:hAnsi="Arial Narrow"/>
        </w:rPr>
        <w:t>Enregistrer les entrées et les sorties en caisse en remplissant le cahier de mouvement de caisse</w:t>
      </w:r>
    </w:p>
    <w:p w:rsidR="006175A3" w:rsidRPr="00BC3A7F" w:rsidRDefault="006175A3" w:rsidP="0038275A">
      <w:pPr>
        <w:pStyle w:val="Paragraphedeliste"/>
        <w:numPr>
          <w:ilvl w:val="0"/>
          <w:numId w:val="1"/>
        </w:numPr>
        <w:rPr>
          <w:rFonts w:ascii="Arial Narrow" w:hAnsi="Arial Narrow"/>
        </w:rPr>
      </w:pPr>
      <w:r w:rsidRPr="00BC3A7F">
        <w:rPr>
          <w:rFonts w:ascii="Arial Narrow" w:hAnsi="Arial Narrow"/>
        </w:rPr>
        <w:t>Distribuer les courriers bancaires</w:t>
      </w:r>
    </w:p>
    <w:p w:rsidR="00954550" w:rsidRDefault="00954550"/>
    <w:sectPr w:rsidR="0095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480"/>
    <w:multiLevelType w:val="hybridMultilevel"/>
    <w:tmpl w:val="E2E27344"/>
    <w:lvl w:ilvl="0" w:tplc="AA5E597A">
      <w:start w:val="1"/>
      <w:numFmt w:val="bullet"/>
      <w:lvlText w:val=""/>
      <w:lvlJc w:val="center"/>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8B54669"/>
    <w:multiLevelType w:val="hybridMultilevel"/>
    <w:tmpl w:val="3C8C1C6E"/>
    <w:lvl w:ilvl="0" w:tplc="AA5E597A">
      <w:start w:val="1"/>
      <w:numFmt w:val="bullet"/>
      <w:lvlText w:val=""/>
      <w:lvlJc w:val="center"/>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F7C6E55"/>
    <w:multiLevelType w:val="hybridMultilevel"/>
    <w:tmpl w:val="6A9EC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5A"/>
    <w:rsid w:val="00000DB3"/>
    <w:rsid w:val="0021126E"/>
    <w:rsid w:val="0038275A"/>
    <w:rsid w:val="003D62FF"/>
    <w:rsid w:val="006175A3"/>
    <w:rsid w:val="00673255"/>
    <w:rsid w:val="00686DC2"/>
    <w:rsid w:val="00753843"/>
    <w:rsid w:val="00954550"/>
    <w:rsid w:val="009F1EDB"/>
    <w:rsid w:val="009F73D8"/>
    <w:rsid w:val="00AB3675"/>
    <w:rsid w:val="00BC3A7F"/>
    <w:rsid w:val="00BC6030"/>
    <w:rsid w:val="00C738CC"/>
    <w:rsid w:val="00D62945"/>
    <w:rsid w:val="00E33211"/>
    <w:rsid w:val="00FE7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75A"/>
    <w:pPr>
      <w:ind w:left="720"/>
      <w:contextualSpacing/>
    </w:pPr>
  </w:style>
  <w:style w:type="paragraph" w:styleId="Textedebulles">
    <w:name w:val="Balloon Text"/>
    <w:basedOn w:val="Normal"/>
    <w:link w:val="TextedebullesCar"/>
    <w:uiPriority w:val="99"/>
    <w:semiHidden/>
    <w:unhideWhenUsed/>
    <w:rsid w:val="003D6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75A"/>
    <w:pPr>
      <w:ind w:left="720"/>
      <w:contextualSpacing/>
    </w:pPr>
  </w:style>
  <w:style w:type="paragraph" w:styleId="Textedebulles">
    <w:name w:val="Balloon Text"/>
    <w:basedOn w:val="Normal"/>
    <w:link w:val="TextedebullesCar"/>
    <w:uiPriority w:val="99"/>
    <w:semiHidden/>
    <w:unhideWhenUsed/>
    <w:rsid w:val="003D6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12</cp:revision>
  <dcterms:created xsi:type="dcterms:W3CDTF">2018-01-17T08:19:00Z</dcterms:created>
  <dcterms:modified xsi:type="dcterms:W3CDTF">2018-01-17T15:01:00Z</dcterms:modified>
</cp:coreProperties>
</file>